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5D" w:rsidRPr="008B0514" w:rsidRDefault="002E685D" w:rsidP="00FE2FD4">
      <w:pPr>
        <w:rPr>
          <w:rFonts w:ascii="Times New Roman" w:hAnsi="Times New Roman"/>
          <w:sz w:val="24"/>
          <w:szCs w:val="24"/>
        </w:rPr>
      </w:pPr>
    </w:p>
    <w:p w:rsidR="002E685D" w:rsidRPr="00A948DC" w:rsidRDefault="002E685D" w:rsidP="001C0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48DC">
        <w:rPr>
          <w:rFonts w:ascii="Times New Roman" w:hAnsi="Times New Roman"/>
          <w:b/>
          <w:sz w:val="28"/>
          <w:szCs w:val="28"/>
          <w:lang w:val="uk-UA"/>
        </w:rPr>
        <w:t>Пояснювальна  записка до змін</w:t>
      </w:r>
    </w:p>
    <w:p w:rsidR="002E685D" w:rsidRDefault="002E685D" w:rsidP="001C0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948D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948DC">
        <w:rPr>
          <w:rFonts w:ascii="Times New Roman" w:hAnsi="Times New Roman"/>
          <w:b/>
          <w:sz w:val="28"/>
          <w:szCs w:val="28"/>
          <w:lang w:val="uk-UA"/>
        </w:rPr>
        <w:t xml:space="preserve">до фінансового плану  Комунального некомерційного підприємства Нетішинської міської ради </w:t>
      </w:r>
      <w:r w:rsidRPr="00A948D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«Спеціалізована медико-санітарна частина </w:t>
      </w:r>
    </w:p>
    <w:p w:rsidR="002E685D" w:rsidRDefault="002E685D" w:rsidP="001C0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48DC">
        <w:rPr>
          <w:rFonts w:ascii="Times New Roman" w:hAnsi="Times New Roman"/>
          <w:b/>
          <w:color w:val="000000"/>
          <w:sz w:val="28"/>
          <w:szCs w:val="28"/>
          <w:lang w:val="uk-UA"/>
        </w:rPr>
        <w:t>м.Нетішин»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 2024 </w:t>
      </w:r>
      <w:r w:rsidRPr="00A948DC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2E685D" w:rsidRDefault="002E685D" w:rsidP="001C0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85D" w:rsidRPr="00FD2532" w:rsidRDefault="002E685D" w:rsidP="00FD2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сорок четвертої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сесії Нетішинської міської ради VIIІ </w:t>
      </w:r>
      <w:r>
        <w:rPr>
          <w:rFonts w:ascii="Times New Roman" w:hAnsi="Times New Roman"/>
          <w:sz w:val="24"/>
          <w:szCs w:val="24"/>
          <w:lang w:val="uk-UA"/>
        </w:rPr>
        <w:t>скликання 26.01.2024р. №44/2117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затверджений фінансовий план КНП НМР «СМСЧ м.Нетішин».</w:t>
      </w:r>
    </w:p>
    <w:p w:rsidR="002E685D" w:rsidRDefault="002E685D" w:rsidP="001C0D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>КНП НМР «СМСЧ м.Нетішин» вносить  зміни до фінансового плану.</w:t>
      </w:r>
    </w:p>
    <w:p w:rsidR="002E685D" w:rsidRPr="00B15EC5" w:rsidRDefault="002E685D" w:rsidP="001C0D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85D" w:rsidRPr="00B15EC5" w:rsidRDefault="002E685D" w:rsidP="001C0D25">
      <w:pPr>
        <w:jc w:val="both"/>
        <w:rPr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            Підставою для внесення з</w:t>
      </w:r>
      <w:r>
        <w:rPr>
          <w:rFonts w:ascii="Times New Roman" w:hAnsi="Times New Roman"/>
          <w:sz w:val="24"/>
          <w:szCs w:val="24"/>
          <w:lang w:val="uk-UA"/>
        </w:rPr>
        <w:t>мін до фінансового плану на 2024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рік стали наступні причини:</w:t>
      </w:r>
    </w:p>
    <w:p w:rsidR="002E685D" w:rsidRPr="00B15EC5" w:rsidRDefault="002E685D" w:rsidP="004C65C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           - </w:t>
      </w:r>
      <w:r>
        <w:rPr>
          <w:rFonts w:ascii="Times New Roman" w:hAnsi="Times New Roman"/>
          <w:sz w:val="24"/>
          <w:szCs w:val="24"/>
          <w:lang w:val="uk-UA"/>
        </w:rPr>
        <w:t xml:space="preserve">між 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КНП НМР «СМСЧ м.Нетішин»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Національною службою здоров’я України </w:t>
      </w:r>
      <w:r w:rsidRPr="00CD35E7">
        <w:rPr>
          <w:rFonts w:ascii="Times New Roman" w:hAnsi="Times New Roman"/>
          <w:sz w:val="24"/>
          <w:szCs w:val="24"/>
          <w:lang w:val="uk-UA"/>
        </w:rPr>
        <w:t>було підписано</w:t>
      </w:r>
      <w:r w:rsidRPr="006120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35E7">
        <w:rPr>
          <w:rFonts w:ascii="Times New Roman" w:hAnsi="Times New Roman"/>
          <w:sz w:val="24"/>
          <w:szCs w:val="24"/>
          <w:lang w:val="uk-UA"/>
        </w:rPr>
        <w:t xml:space="preserve">Договір № </w:t>
      </w:r>
      <w:r>
        <w:rPr>
          <w:rFonts w:ascii="Times New Roman" w:hAnsi="Times New Roman"/>
          <w:sz w:val="24"/>
          <w:szCs w:val="24"/>
          <w:lang w:val="uk-UA"/>
        </w:rPr>
        <w:t xml:space="preserve">3345-Е124-Р000 та </w:t>
      </w:r>
      <w:r w:rsidRPr="00CD35E7">
        <w:rPr>
          <w:rFonts w:ascii="Times New Roman" w:hAnsi="Times New Roman"/>
          <w:sz w:val="24"/>
          <w:szCs w:val="24"/>
          <w:lang w:val="uk-UA"/>
        </w:rPr>
        <w:t xml:space="preserve">Договір № </w:t>
      </w:r>
      <w:r>
        <w:rPr>
          <w:rFonts w:ascii="Times New Roman" w:hAnsi="Times New Roman"/>
          <w:sz w:val="24"/>
          <w:szCs w:val="24"/>
          <w:lang w:val="uk-UA"/>
        </w:rPr>
        <w:t>0592-Е124-Р000</w:t>
      </w:r>
      <w:r w:rsidRPr="00CD35E7">
        <w:rPr>
          <w:rFonts w:ascii="Times New Roman" w:hAnsi="Times New Roman"/>
          <w:sz w:val="24"/>
          <w:szCs w:val="24"/>
          <w:lang w:val="uk-UA"/>
        </w:rPr>
        <w:t xml:space="preserve"> про медичне обслуговування населення за програмою медичних гарантій</w:t>
      </w:r>
      <w:r>
        <w:rPr>
          <w:rFonts w:ascii="Times New Roman" w:hAnsi="Times New Roman"/>
          <w:sz w:val="24"/>
          <w:szCs w:val="24"/>
          <w:lang w:val="uk-UA"/>
        </w:rPr>
        <w:t xml:space="preserve">. В березні місяці 2024 року було підписано Договір № 3345-Е124-Р000/01; Договір № 0592-Е124-Р000/01; в квітні </w:t>
      </w:r>
      <w:r w:rsidRPr="00CD35E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Договір № 3345-Е124-Р000/02; в травні</w:t>
      </w:r>
      <w:r w:rsidRPr="006120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Договір № 3345-Е124-Р000/03 про внесення змін до договорів</w:t>
      </w:r>
      <w:r w:rsidRPr="00CD35E7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 xml:space="preserve">3345-Е124-Р000; </w:t>
      </w:r>
      <w:r w:rsidRPr="00CD35E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 xml:space="preserve">0592-Е124-Р000 </w:t>
      </w:r>
      <w:r w:rsidRPr="00CD35E7">
        <w:rPr>
          <w:rFonts w:ascii="Times New Roman" w:hAnsi="Times New Roman"/>
          <w:sz w:val="24"/>
          <w:szCs w:val="24"/>
          <w:lang w:val="uk-UA"/>
        </w:rPr>
        <w:t>про медичне обслуговування населення за пр</w:t>
      </w:r>
      <w:r>
        <w:rPr>
          <w:rFonts w:ascii="Times New Roman" w:hAnsi="Times New Roman"/>
          <w:sz w:val="24"/>
          <w:szCs w:val="24"/>
          <w:lang w:val="uk-UA"/>
        </w:rPr>
        <w:t>ограмою медичних гарантій, в яких</w:t>
      </w:r>
      <w:r w:rsidRPr="00CD35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5EC5">
        <w:rPr>
          <w:rFonts w:ascii="Times New Roman" w:hAnsi="Times New Roman"/>
          <w:sz w:val="24"/>
          <w:szCs w:val="24"/>
          <w:lang w:val="uk-UA"/>
        </w:rPr>
        <w:t>запланована  вартість медичних послуг</w:t>
      </w:r>
      <w:r>
        <w:rPr>
          <w:rFonts w:ascii="Times New Roman" w:hAnsi="Times New Roman"/>
          <w:sz w:val="24"/>
          <w:szCs w:val="24"/>
          <w:lang w:val="uk-UA"/>
        </w:rPr>
        <w:t>, що надаються ЗОЗ становить 87 000,00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тис.грн</w:t>
      </w:r>
      <w:r>
        <w:rPr>
          <w:rFonts w:ascii="Times New Roman" w:hAnsi="Times New Roman"/>
          <w:sz w:val="24"/>
          <w:szCs w:val="24"/>
          <w:lang w:val="uk-UA"/>
        </w:rPr>
        <w:t>, що на    9 000,00 тис.грн більше ніж в першочергових  договорах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;  </w:t>
      </w:r>
    </w:p>
    <w:p w:rsidR="002E685D" w:rsidRPr="00E114EF" w:rsidRDefault="002E685D" w:rsidP="004C65CC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          - </w:t>
      </w:r>
      <w:r>
        <w:rPr>
          <w:rFonts w:ascii="Times New Roman" w:hAnsi="Times New Roman"/>
          <w:sz w:val="24"/>
          <w:szCs w:val="24"/>
          <w:lang w:val="uk-UA"/>
        </w:rPr>
        <w:t>збільшено суму коштів  з бюджету</w:t>
      </w:r>
      <w:r w:rsidRPr="00992D82">
        <w:rPr>
          <w:rFonts w:ascii="Times New Roman" w:hAnsi="Times New Roman"/>
          <w:sz w:val="24"/>
          <w:szCs w:val="24"/>
        </w:rPr>
        <w:t xml:space="preserve"> Нетішинської міської ТГ</w:t>
      </w:r>
      <w:r>
        <w:rPr>
          <w:rFonts w:ascii="Times New Roman" w:hAnsi="Times New Roman"/>
          <w:sz w:val="24"/>
          <w:szCs w:val="24"/>
          <w:lang w:val="uk-UA"/>
        </w:rPr>
        <w:t xml:space="preserve">  за «Комплексною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Програмою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розвитку та підтримки комунальних підприємств охорони здоров</w:t>
      </w:r>
      <w:r w:rsidRPr="00F93C37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 Нетішинської міської територіальної громади і надання медичних послуг  на 2021-2024 роки» </w:t>
      </w:r>
      <w:r w:rsidRPr="002B5F55">
        <w:rPr>
          <w:rFonts w:ascii="Times New Roman" w:hAnsi="Times New Roman"/>
          <w:sz w:val="24"/>
          <w:szCs w:val="24"/>
          <w:lang w:val="uk-UA"/>
        </w:rPr>
        <w:t>на поточні і капітальні видатки (виплата та доставка пенсій, що підлягають відшкодуванню, призначених особам, які були зайняті на інших роботах, що дають право на призначення пенсій за віком на пільгових умовах;</w:t>
      </w:r>
      <w:r>
        <w:rPr>
          <w:rFonts w:ascii="Times New Roman" w:hAnsi="Times New Roman"/>
          <w:sz w:val="24"/>
          <w:szCs w:val="24"/>
          <w:lang w:val="uk-UA"/>
        </w:rPr>
        <w:t xml:space="preserve"> придбання медичного обладнання у відділення </w:t>
      </w:r>
      <w:r w:rsidRPr="00E114EF">
        <w:rPr>
          <w:rFonts w:ascii="Times New Roman" w:hAnsi="Times New Roman"/>
          <w:sz w:val="24"/>
          <w:szCs w:val="24"/>
          <w:lang w:val="uk-UA"/>
        </w:rPr>
        <w:t>медичної реабілітації та фізіотерапії; капітальний ремонт у відділенні  медичної реабілітації та фізіотерапії);</w:t>
      </w:r>
    </w:p>
    <w:p w:rsidR="002E685D" w:rsidRPr="00E114EF" w:rsidRDefault="002E685D" w:rsidP="004C65CC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E114EF">
        <w:rPr>
          <w:rFonts w:ascii="Times New Roman" w:hAnsi="Times New Roman"/>
          <w:sz w:val="24"/>
          <w:szCs w:val="24"/>
          <w:lang w:val="uk-UA"/>
        </w:rPr>
        <w:t xml:space="preserve">         - заплановано збільшити суму надходжень в частині плати за послуги за рахунок підписаного Договору про надання медичних послуг медичного кабінету з контролю за проведенням навчально-тренувальної та спортивної роботи та Договору про закупівлю (предмет договору: кейтерингові послуги (послуги харчування стаціонарних хворих КНП «ХОССЦ ХОР м.Нетішин»)); </w:t>
      </w:r>
    </w:p>
    <w:p w:rsidR="002E685D" w:rsidRPr="00E114EF" w:rsidRDefault="002E685D" w:rsidP="001C0D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114EF">
        <w:rPr>
          <w:rFonts w:ascii="Times New Roman" w:hAnsi="Times New Roman"/>
          <w:sz w:val="24"/>
          <w:szCs w:val="24"/>
          <w:lang w:val="uk-UA"/>
        </w:rPr>
        <w:t>- окрім того, КНП НМР «СМСЧ м.Нетішин» планує</w:t>
      </w:r>
      <w:r w:rsidRPr="00E114EF">
        <w:rPr>
          <w:lang w:val="uk-UA"/>
        </w:rPr>
        <w:t xml:space="preserve"> </w:t>
      </w:r>
      <w:r w:rsidRPr="00E114EF">
        <w:rPr>
          <w:rFonts w:ascii="Times New Roman" w:hAnsi="Times New Roman"/>
          <w:sz w:val="24"/>
          <w:szCs w:val="24"/>
          <w:lang w:val="uk-UA"/>
        </w:rPr>
        <w:t>додаткові фінансові надходження від  договорів оренди (інші надходження) доступ до частини даху будівлі поліклініки;</w:t>
      </w:r>
    </w:p>
    <w:p w:rsidR="002E685D" w:rsidRPr="00E114EF" w:rsidRDefault="002E685D" w:rsidP="001C0D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114EF">
        <w:rPr>
          <w:rFonts w:ascii="Times New Roman" w:hAnsi="Times New Roman"/>
          <w:sz w:val="24"/>
          <w:szCs w:val="24"/>
          <w:lang w:val="uk-UA"/>
        </w:rPr>
        <w:t>- додаткові надходження (відсотки)  по залишках на поточному рахунку в банку.</w:t>
      </w:r>
    </w:p>
    <w:p w:rsidR="002E685D" w:rsidRPr="00E114EF" w:rsidRDefault="002E685D" w:rsidP="001C0D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85D" w:rsidRPr="00E114EF" w:rsidRDefault="002E685D" w:rsidP="001C0D2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114EF">
        <w:rPr>
          <w:rFonts w:ascii="Times New Roman" w:hAnsi="Times New Roman"/>
          <w:sz w:val="24"/>
          <w:szCs w:val="24"/>
          <w:lang w:val="uk-UA"/>
        </w:rPr>
        <w:t>В результаті внесених змін в фінансовому плані підприємства збільшилась сума в частині доходу на 15 588,0 тис.грн, а саме:</w:t>
      </w:r>
    </w:p>
    <w:p w:rsidR="002E685D" w:rsidRPr="00E114EF" w:rsidRDefault="002E685D" w:rsidP="00EB36A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114EF">
        <w:rPr>
          <w:rFonts w:ascii="Times New Roman" w:hAnsi="Times New Roman"/>
          <w:sz w:val="24"/>
          <w:szCs w:val="24"/>
          <w:lang w:val="uk-UA"/>
        </w:rPr>
        <w:t>- сума рядка 1000/1 (основної таблиці) «Кошти отримані від плати за послуги (медогляди, перебування громадян за їх бажанням у медичних закладах з поліпшеним сервісним обслуговуванням, Договір "Медико-санітарне обслуговування" в здоровпункті ВП ХАЕС; за проведення навчально-тренувальної та спортивної роботи; послуги харчування стаціонарних послуг)» збільшено на 1181,0 тис.грн (Договір про надання медичних послуг медичного кабінету з контролю за проведенням навчально-тренувальної та спортивної роботи та Договору про закупівлю (предмет договору: кейтерингові послуги (послуги харчування стаціонарних хворих КНП «ХОССЦ ХОР м.Нетішин»));</w:t>
      </w:r>
    </w:p>
    <w:p w:rsidR="002E685D" w:rsidRPr="00E114EF" w:rsidRDefault="002E685D" w:rsidP="001C0D2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114EF">
        <w:rPr>
          <w:rFonts w:ascii="Times New Roman" w:hAnsi="Times New Roman"/>
          <w:sz w:val="24"/>
          <w:szCs w:val="24"/>
          <w:lang w:val="uk-UA"/>
        </w:rPr>
        <w:t>- сума рядка 1000/2 (основної таблиці) «Кошти отримані від оренди майна» збільшено на 100,0 тис.грн (доступ до частини даху будівлі поліклініки);</w:t>
      </w:r>
    </w:p>
    <w:p w:rsidR="002E685D" w:rsidRPr="00B15EC5" w:rsidRDefault="002E685D" w:rsidP="001C0D2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сума рядка 1000/5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(основної таблиці)</w:t>
      </w:r>
      <w:r w:rsidRPr="00EC0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«Інші операційні доходи (кошти від НСЗУ)» збільшено </w:t>
      </w:r>
      <w:r>
        <w:rPr>
          <w:rFonts w:ascii="Times New Roman" w:hAnsi="Times New Roman"/>
          <w:sz w:val="24"/>
          <w:szCs w:val="24"/>
          <w:lang w:val="uk-UA"/>
        </w:rPr>
        <w:t xml:space="preserve"> на 9 000,00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тис.грн;</w:t>
      </w:r>
    </w:p>
    <w:p w:rsidR="002E685D" w:rsidRPr="00482184" w:rsidRDefault="002E685D" w:rsidP="001C0D2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сума рядка 1070/1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(основної таблиці) «</w:t>
      </w:r>
      <w:r w:rsidRPr="00BB14A0">
        <w:rPr>
          <w:rFonts w:ascii="Times New Roman" w:hAnsi="Times New Roman"/>
          <w:sz w:val="24"/>
          <w:szCs w:val="24"/>
          <w:lang w:val="uk-UA"/>
        </w:rPr>
        <w:t xml:space="preserve">Дохід з місцевого бюджету по Комплексні Програмі розвитку та підтримки комунальних підприємств охорони здоров’я Нетішинської 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міської ТГ і надання медичних послуг  на 2021-2024 роки» збільшено </w:t>
      </w:r>
      <w:r>
        <w:rPr>
          <w:rFonts w:ascii="Times New Roman" w:hAnsi="Times New Roman"/>
          <w:sz w:val="24"/>
          <w:szCs w:val="24"/>
          <w:lang w:val="uk-UA"/>
        </w:rPr>
        <w:t>на 107</w:t>
      </w:r>
      <w:r w:rsidRPr="00482184">
        <w:rPr>
          <w:rFonts w:ascii="Times New Roman" w:hAnsi="Times New Roman"/>
          <w:sz w:val="24"/>
          <w:szCs w:val="24"/>
          <w:lang w:val="uk-UA"/>
        </w:rPr>
        <w:t>,0 тис.грн</w:t>
      </w:r>
      <w:r w:rsidRPr="002B5F5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2B5F55">
        <w:rPr>
          <w:rFonts w:ascii="Times New Roman" w:hAnsi="Times New Roman"/>
          <w:sz w:val="24"/>
          <w:szCs w:val="24"/>
          <w:lang w:val="uk-UA"/>
        </w:rPr>
        <w:t>виплата та доставка пенсій, що підлягають відшкодуванню, призначених особам, які були зайняті на інших роботах, що дають право на призначення пенсій за віком на пільгових умовах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482184">
        <w:rPr>
          <w:rFonts w:ascii="Times New Roman" w:hAnsi="Times New Roman"/>
          <w:sz w:val="24"/>
          <w:szCs w:val="24"/>
          <w:lang w:val="uk-UA"/>
        </w:rPr>
        <w:t>;</w:t>
      </w:r>
    </w:p>
    <w:p w:rsidR="002E685D" w:rsidRPr="00DB3C80" w:rsidRDefault="002E685D" w:rsidP="00DB3C8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- сума рядка 1070/4 (основної таблиці) «Інші доходи (придбання обладнання і предметів довгострокового користування; капітальний ремонт приміщення)» збільшено  на </w:t>
      </w:r>
      <w:r>
        <w:rPr>
          <w:rFonts w:ascii="Times New Roman" w:hAnsi="Times New Roman"/>
          <w:sz w:val="24"/>
          <w:szCs w:val="24"/>
          <w:lang w:val="uk-UA"/>
        </w:rPr>
        <w:t>4 000,00 тис.грн (придбання медичного обладнання у відділення медичної реабілітації та фізіотерапії; капітальний ремонт у відділенні  медичної реабілітації та фізіотерапії);</w:t>
      </w:r>
    </w:p>
    <w:p w:rsidR="002E685D" w:rsidRDefault="002E685D" w:rsidP="001C0D2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сума рядка 1070/5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(основної таблиці) «</w:t>
      </w:r>
      <w:r w:rsidRPr="00383171">
        <w:rPr>
          <w:rFonts w:ascii="Times New Roman" w:hAnsi="Times New Roman"/>
          <w:sz w:val="24"/>
          <w:szCs w:val="24"/>
          <w:lang w:val="uk-UA"/>
        </w:rPr>
        <w:t>Дохід від депозитних коштів на рахунках в банках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» збільшено  на </w:t>
      </w:r>
      <w:r>
        <w:rPr>
          <w:rFonts w:ascii="Times New Roman" w:hAnsi="Times New Roman"/>
          <w:sz w:val="24"/>
          <w:szCs w:val="24"/>
          <w:lang w:val="uk-UA"/>
        </w:rPr>
        <w:t>1 200,00 тис.грн (відсотки  по залишках на поточному рахунку в банку).</w:t>
      </w:r>
    </w:p>
    <w:p w:rsidR="002E685D" w:rsidRDefault="002E685D" w:rsidP="000F3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85D" w:rsidRPr="000F352C" w:rsidRDefault="002E685D" w:rsidP="000F3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85D" w:rsidRPr="00655BAE" w:rsidRDefault="002E685D" w:rsidP="001C0D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55BAE">
        <w:rPr>
          <w:rFonts w:ascii="Times New Roman" w:hAnsi="Times New Roman"/>
          <w:sz w:val="24"/>
          <w:szCs w:val="24"/>
          <w:lang w:val="uk-UA"/>
        </w:rPr>
        <w:t xml:space="preserve">Кошти з частини доходу у сумі 15 588,0 тис.грн будуть спрямовані на наступні статті в частині витрат: </w:t>
      </w:r>
    </w:p>
    <w:p w:rsidR="002E685D" w:rsidRPr="00655BAE" w:rsidRDefault="002E685D" w:rsidP="001C0D2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BAE">
        <w:rPr>
          <w:rFonts w:ascii="Times New Roman" w:hAnsi="Times New Roman"/>
          <w:sz w:val="24"/>
          <w:szCs w:val="24"/>
          <w:lang w:val="uk-UA"/>
        </w:rPr>
        <w:t>- сума рядка 1011 (основної таблиці) «Витрати на сировину та основні матеріали (медикаменти та перев'язувальні матеріали)» збільшено на 3 204,3 тис.грн;</w:t>
      </w:r>
    </w:p>
    <w:p w:rsidR="002E685D" w:rsidRPr="00655BAE" w:rsidRDefault="002E685D" w:rsidP="001C0D2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lang w:eastAsia="ru-RU"/>
        </w:rPr>
      </w:pPr>
      <w:r w:rsidRPr="00655BAE">
        <w:t>- сума рядка 1014  (основної таблиці) «Витрати на оплату праці» збільшено на 1 715,0 тис.грн;</w:t>
      </w:r>
      <w:r w:rsidRPr="00655BAE">
        <w:rPr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2E685D" w:rsidRPr="00655BAE" w:rsidRDefault="002E685D" w:rsidP="001C0D2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BAE">
        <w:rPr>
          <w:rFonts w:ascii="Times New Roman" w:hAnsi="Times New Roman"/>
          <w:sz w:val="24"/>
          <w:szCs w:val="24"/>
          <w:lang w:val="uk-UA"/>
        </w:rPr>
        <w:t>- сума рядка 1015 (основної таблиці) «Відрахування на соціальні заходи» збільшено на 357,0 тис.грн;</w:t>
      </w:r>
    </w:p>
    <w:p w:rsidR="002E685D" w:rsidRPr="00655BAE" w:rsidRDefault="002E685D" w:rsidP="001C0D2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BAE">
        <w:rPr>
          <w:rFonts w:ascii="Times New Roman" w:hAnsi="Times New Roman"/>
          <w:sz w:val="24"/>
          <w:szCs w:val="24"/>
          <w:lang w:val="uk-UA"/>
        </w:rPr>
        <w:t xml:space="preserve">- сума рядка 1016 (основної таблиці) «Витрати, що здійснюються для підтримання об’єкта в робочому стані (предмети і матеріали проведення ремонту, технічного огляду, нагляду, обслуговування тощо, оплата послуг (крім комунальних))» збільшено на 1600,0 тис.грн; </w:t>
      </w:r>
    </w:p>
    <w:p w:rsidR="002E685D" w:rsidRPr="00655BAE" w:rsidRDefault="002E685D" w:rsidP="001621C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BAE">
        <w:rPr>
          <w:rFonts w:ascii="Times New Roman" w:hAnsi="Times New Roman"/>
          <w:sz w:val="24"/>
          <w:szCs w:val="24"/>
          <w:lang w:val="uk-UA"/>
        </w:rPr>
        <w:t xml:space="preserve">- сума рядка 1019 (основної таблиці) «Витрати на відрядні та на підвищення кваліфікації та перепідготовку кадрів» збільшено на 60,0 тис.грн; </w:t>
      </w:r>
    </w:p>
    <w:p w:rsidR="002E685D" w:rsidRPr="00655BAE" w:rsidRDefault="002E685D" w:rsidP="00655BA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BAE">
        <w:rPr>
          <w:rFonts w:ascii="Times New Roman" w:hAnsi="Times New Roman"/>
          <w:sz w:val="24"/>
          <w:szCs w:val="24"/>
          <w:lang w:val="uk-UA"/>
        </w:rPr>
        <w:t xml:space="preserve">- сума рядка 1019 (основної таблиці) «Витрати на службові відрядження» збільшено на 44,7 тис.грн; </w:t>
      </w:r>
    </w:p>
    <w:p w:rsidR="002E685D" w:rsidRPr="00655BAE" w:rsidRDefault="002E685D" w:rsidP="003E0CD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lang w:eastAsia="ru-RU"/>
        </w:rPr>
      </w:pPr>
      <w:r w:rsidRPr="00655BAE">
        <w:t>- сума рядка 1038  (основної таблиці) «Витрати на оплату праці» збільшено на 1 000,0 тис.грн;</w:t>
      </w:r>
      <w:r w:rsidRPr="00655BAE">
        <w:rPr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2E685D" w:rsidRPr="00655BAE" w:rsidRDefault="002E685D" w:rsidP="003E0C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BAE">
        <w:rPr>
          <w:rFonts w:ascii="Times New Roman" w:hAnsi="Times New Roman"/>
          <w:sz w:val="24"/>
          <w:szCs w:val="24"/>
          <w:lang w:val="uk-UA"/>
        </w:rPr>
        <w:t>- сума рядка 11039 (основної таблиці) «Відрахування на соціальні заходи» збільшено на 200,0 тис.грн;</w:t>
      </w:r>
    </w:p>
    <w:p w:rsidR="002E685D" w:rsidRPr="00655BAE" w:rsidRDefault="002E685D" w:rsidP="001C0D2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BAE">
        <w:rPr>
          <w:rFonts w:ascii="Times New Roman" w:hAnsi="Times New Roman"/>
          <w:sz w:val="24"/>
          <w:szCs w:val="24"/>
          <w:lang w:val="uk-UA"/>
        </w:rPr>
        <w:t xml:space="preserve">- сума рядка 1080/8 (основної таблиці) «Соціальне забезпечення                                              (пільгові пенсії)» збільшено на 107,0 тис.грн; </w:t>
      </w:r>
    </w:p>
    <w:p w:rsidR="002E685D" w:rsidRPr="00655BAE" w:rsidRDefault="002E685D" w:rsidP="001C0D2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BAE">
        <w:rPr>
          <w:rFonts w:ascii="Times New Roman" w:hAnsi="Times New Roman"/>
          <w:sz w:val="24"/>
          <w:szCs w:val="24"/>
          <w:lang w:val="uk-UA"/>
        </w:rPr>
        <w:t>- сума рядка 1080/9 (основної таблиці) «Предмети, матеріали, обладнання та інвентар» збільшено на 450,0 тис.грн;</w:t>
      </w:r>
    </w:p>
    <w:p w:rsidR="002E685D" w:rsidRPr="00655BAE" w:rsidRDefault="002E685D" w:rsidP="00A4535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BAE">
        <w:rPr>
          <w:rFonts w:ascii="Times New Roman" w:hAnsi="Times New Roman"/>
          <w:sz w:val="24"/>
          <w:szCs w:val="24"/>
          <w:lang w:val="uk-UA"/>
        </w:rPr>
        <w:t>- сума рядка 1080/10 (основної таблиці) «Оплата послуг (крім комунальних) збільшено на 250,0 тис.грн;</w:t>
      </w:r>
    </w:p>
    <w:p w:rsidR="002E685D" w:rsidRPr="00655BAE" w:rsidRDefault="002E685D" w:rsidP="00A4535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BAE">
        <w:rPr>
          <w:rFonts w:ascii="Times New Roman" w:hAnsi="Times New Roman"/>
          <w:sz w:val="24"/>
          <w:szCs w:val="24"/>
          <w:lang w:val="uk-UA"/>
        </w:rPr>
        <w:t>- сума рядка 1080/12 (основної таблиці) «Інші витрати (капітальні видатки)» збільшено на 4 000,0 тис.грн (придбання обладнання і предметів довгострокового користування; капітальний ремонт приміщення);</w:t>
      </w:r>
    </w:p>
    <w:p w:rsidR="002E685D" w:rsidRPr="00655BAE" w:rsidRDefault="002E685D" w:rsidP="00655BA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5BAE">
        <w:rPr>
          <w:rFonts w:ascii="Times New Roman" w:hAnsi="Times New Roman"/>
          <w:sz w:val="24"/>
          <w:szCs w:val="24"/>
          <w:lang w:val="uk-UA"/>
        </w:rPr>
        <w:t>- сума рядка 1080/13 (основної таблиці) «Інші витрати (капітальні видатки від суми доходу власних надходжень)» збільшено на 2 600,0 тис.грн (придбання обладнання і предметів довгострокового користування).</w:t>
      </w:r>
    </w:p>
    <w:p w:rsidR="002E685D" w:rsidRPr="00482184" w:rsidRDefault="002E685D" w:rsidP="001C0D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85D" w:rsidRPr="00482184" w:rsidRDefault="002E685D" w:rsidP="00523D8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>У фінансов</w:t>
      </w:r>
      <w:r>
        <w:rPr>
          <w:rFonts w:ascii="Times New Roman" w:hAnsi="Times New Roman"/>
          <w:sz w:val="24"/>
          <w:szCs w:val="24"/>
          <w:lang w:val="uk-UA"/>
        </w:rPr>
        <w:t>ому  плані зі змінами   на  2024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р. заплановано отримати дохід на загальну суму </w:t>
      </w:r>
      <w:r>
        <w:rPr>
          <w:rFonts w:ascii="Times New Roman" w:hAnsi="Times New Roman"/>
          <w:sz w:val="24"/>
          <w:szCs w:val="24"/>
          <w:lang w:val="uk-UA"/>
        </w:rPr>
        <w:t>154 085,5</w:t>
      </w:r>
      <w:r w:rsidRPr="00482184">
        <w:rPr>
          <w:rFonts w:ascii="Times New Roman" w:hAnsi="Times New Roman"/>
          <w:sz w:val="24"/>
          <w:szCs w:val="24"/>
          <w:lang w:val="uk-UA"/>
        </w:rPr>
        <w:t>тис. грн, а саме:</w:t>
      </w:r>
    </w:p>
    <w:p w:rsidR="002E685D" w:rsidRPr="00482184" w:rsidRDefault="002E685D" w:rsidP="001C0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- від реалізації продукції (товарів, робіт, послуг) (в т.ч. кошти, отримані від НСЗУ у сумі </w:t>
      </w:r>
      <w:r>
        <w:rPr>
          <w:rFonts w:ascii="Times New Roman" w:hAnsi="Times New Roman"/>
          <w:sz w:val="24"/>
          <w:szCs w:val="24"/>
          <w:lang w:val="uk-UA"/>
        </w:rPr>
        <w:t>87</w:t>
      </w:r>
      <w:r w:rsidRPr="00482184">
        <w:rPr>
          <w:rFonts w:ascii="Times New Roman" w:hAnsi="Times New Roman"/>
          <w:sz w:val="24"/>
          <w:szCs w:val="24"/>
          <w:lang w:val="uk-UA"/>
        </w:rPr>
        <w:t> 000,0 тис.грн) рядок 1000 (основ</w:t>
      </w:r>
      <w:r>
        <w:rPr>
          <w:rFonts w:ascii="Times New Roman" w:hAnsi="Times New Roman"/>
          <w:sz w:val="24"/>
          <w:szCs w:val="24"/>
          <w:lang w:val="uk-UA"/>
        </w:rPr>
        <w:t>ної таблиці)  на суму  101 439</w:t>
      </w:r>
      <w:r w:rsidRPr="00482184">
        <w:rPr>
          <w:rFonts w:ascii="Times New Roman" w:hAnsi="Times New Roman"/>
          <w:sz w:val="24"/>
          <w:szCs w:val="24"/>
          <w:lang w:val="uk-UA"/>
        </w:rPr>
        <w:t>,0 тис.грн.;</w:t>
      </w:r>
    </w:p>
    <w:p w:rsidR="002E685D" w:rsidRPr="00482184" w:rsidRDefault="002E685D" w:rsidP="001C0D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           - інші операційні доходи, рядок 1070 ( основної таблиці):</w:t>
      </w:r>
    </w:p>
    <w:p w:rsidR="002E685D" w:rsidRPr="00482184" w:rsidRDefault="002E685D" w:rsidP="001C0D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           -«Дохід з місцевого бюджету по Комплексні Програмі розвитку та підтримки комунальних підприємств охорони здоров’я Нетішинської міської ТГ і надання медичних послуг  на 2</w:t>
      </w:r>
      <w:r>
        <w:rPr>
          <w:rFonts w:ascii="Times New Roman" w:hAnsi="Times New Roman"/>
          <w:sz w:val="24"/>
          <w:szCs w:val="24"/>
          <w:lang w:val="uk-UA"/>
        </w:rPr>
        <w:t>021-2024 роки», на суму 23 946,5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тис. грн;</w:t>
      </w:r>
    </w:p>
    <w:p w:rsidR="002E685D" w:rsidRDefault="002E685D" w:rsidP="001C0D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           -«Інші доходи (придбання обладнання і предметів довгострокового користування; капітальний ремонт приміщення)» на суму 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000,00</w:t>
      </w:r>
      <w:r>
        <w:rPr>
          <w:rFonts w:ascii="Times New Roman" w:hAnsi="Times New Roman"/>
          <w:sz w:val="24"/>
          <w:szCs w:val="24"/>
          <w:lang w:val="uk-UA"/>
        </w:rPr>
        <w:t xml:space="preserve"> тис. грн., </w:t>
      </w:r>
    </w:p>
    <w:p w:rsidR="002E685D" w:rsidRPr="00482184" w:rsidRDefault="002E685D" w:rsidP="001C0D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- «</w:t>
      </w:r>
      <w:r w:rsidRPr="00104CC5">
        <w:rPr>
          <w:rFonts w:ascii="Times New Roman" w:hAnsi="Times New Roman"/>
          <w:sz w:val="24"/>
          <w:szCs w:val="24"/>
          <w:lang w:val="uk-UA"/>
        </w:rPr>
        <w:t>Дохід від депозитних коштів на рахунках в банках</w:t>
      </w:r>
      <w:r>
        <w:rPr>
          <w:rFonts w:ascii="Times New Roman" w:hAnsi="Times New Roman"/>
          <w:sz w:val="24"/>
          <w:szCs w:val="24"/>
          <w:lang w:val="uk-UA"/>
        </w:rPr>
        <w:t>» 1 200,00 тис.грн.,</w:t>
      </w:r>
    </w:p>
    <w:p w:rsidR="002E685D" w:rsidRPr="00482184" w:rsidRDefault="002E685D" w:rsidP="00905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         -   «Дохід ві</w:t>
      </w:r>
      <w:r>
        <w:rPr>
          <w:rFonts w:ascii="Times New Roman" w:hAnsi="Times New Roman"/>
          <w:sz w:val="24"/>
          <w:szCs w:val="24"/>
          <w:lang w:val="uk-UA"/>
        </w:rPr>
        <w:t>д централізованого постачання» 6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000,0 тис грн;</w:t>
      </w:r>
    </w:p>
    <w:p w:rsidR="002E685D" w:rsidRPr="00482184" w:rsidRDefault="002E685D" w:rsidP="001C0D25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8 500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,0 тис грн (з суми придбання предметів довгострокового користування) визнаний  дохід від цільового фінансування капітальних інвестицій, пропорційно сумі нарахованої амортизації п.18 П БО  15 «Дохід». </w:t>
      </w:r>
    </w:p>
    <w:p w:rsidR="002E685D" w:rsidRPr="00482184" w:rsidRDefault="002E685D" w:rsidP="001C0D2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85D" w:rsidRPr="00482184" w:rsidRDefault="002E685D" w:rsidP="001C0D25">
      <w:pPr>
        <w:ind w:left="709" w:hanging="709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>Витратна частина фінансового плану зі змінами в 20</w:t>
      </w:r>
      <w:r>
        <w:rPr>
          <w:rFonts w:ascii="Times New Roman" w:hAnsi="Times New Roman"/>
          <w:sz w:val="24"/>
          <w:szCs w:val="24"/>
          <w:lang w:val="uk-UA"/>
        </w:rPr>
        <w:t>24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році становить </w:t>
      </w:r>
      <w:r>
        <w:rPr>
          <w:rFonts w:ascii="Times New Roman" w:hAnsi="Times New Roman"/>
          <w:sz w:val="24"/>
          <w:szCs w:val="24"/>
          <w:lang w:val="uk-UA"/>
        </w:rPr>
        <w:t>154 085,5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тис. грн,</w:t>
      </w:r>
    </w:p>
    <w:p w:rsidR="002E685D" w:rsidRPr="00523D85" w:rsidRDefault="002E685D" w:rsidP="000F352C">
      <w:pPr>
        <w:ind w:left="709" w:hanging="709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 а саме: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523D85">
        <w:rPr>
          <w:rFonts w:ascii="Times New Roman" w:hAnsi="Times New Roman"/>
          <w:sz w:val="24"/>
          <w:szCs w:val="24"/>
          <w:lang w:val="uk-UA"/>
        </w:rPr>
        <w:t xml:space="preserve">- собівартість наданих послуг, рядок 1010 (основної таблиці)  </w:t>
      </w:r>
      <w:r>
        <w:rPr>
          <w:rFonts w:ascii="Times New Roman" w:hAnsi="Times New Roman"/>
          <w:sz w:val="24"/>
          <w:szCs w:val="24"/>
          <w:lang w:val="uk-UA"/>
        </w:rPr>
        <w:t>90 769,3</w:t>
      </w:r>
      <w:r w:rsidRPr="00523D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23D85">
        <w:rPr>
          <w:rFonts w:ascii="Times New Roman" w:hAnsi="Times New Roman"/>
          <w:sz w:val="24"/>
          <w:szCs w:val="24"/>
          <w:lang w:val="uk-UA"/>
        </w:rPr>
        <w:t>тис. грн;</w:t>
      </w:r>
    </w:p>
    <w:p w:rsidR="002E685D" w:rsidRPr="00B15EC5" w:rsidRDefault="002E685D" w:rsidP="001C0D25">
      <w:pPr>
        <w:tabs>
          <w:tab w:val="left" w:pos="82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адміністративні витрати, рядок 1030 (основної таблиці)  </w:t>
      </w:r>
      <w:r>
        <w:rPr>
          <w:rFonts w:ascii="Times New Roman" w:hAnsi="Times New Roman"/>
          <w:sz w:val="24"/>
          <w:szCs w:val="24"/>
          <w:lang w:val="uk-UA"/>
        </w:rPr>
        <w:t>11 869,7</w:t>
      </w:r>
      <w:r w:rsidRPr="00B15E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5EC5">
        <w:rPr>
          <w:rFonts w:ascii="Times New Roman" w:hAnsi="Times New Roman"/>
          <w:sz w:val="24"/>
          <w:szCs w:val="24"/>
          <w:lang w:val="uk-UA"/>
        </w:rPr>
        <w:t>тис. грн, у тому числі: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513"/>
        <w:gridCol w:w="1559"/>
      </w:tblGrid>
      <w:tr w:rsidR="002E685D" w:rsidRPr="00C65DC0" w:rsidTr="00C65DC0">
        <w:tc>
          <w:tcPr>
            <w:tcW w:w="70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13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Стаття    витрат</w:t>
            </w:r>
          </w:p>
        </w:tc>
        <w:tc>
          <w:tcPr>
            <w:tcW w:w="155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тис. грн</w:t>
            </w:r>
          </w:p>
        </w:tc>
      </w:tr>
      <w:tr w:rsidR="002E685D" w:rsidRPr="00C65DC0" w:rsidTr="00C65DC0">
        <w:trPr>
          <w:trHeight w:val="279"/>
        </w:trPr>
        <w:tc>
          <w:tcPr>
            <w:tcW w:w="70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1559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50,0</w:t>
            </w:r>
          </w:p>
        </w:tc>
      </w:tr>
      <w:tr w:rsidR="002E685D" w:rsidRPr="00C65DC0" w:rsidTr="00C65DC0">
        <w:tc>
          <w:tcPr>
            <w:tcW w:w="70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витрати на службові відрядження</w:t>
            </w:r>
          </w:p>
        </w:tc>
        <w:tc>
          <w:tcPr>
            <w:tcW w:w="1559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94,7</w:t>
            </w:r>
          </w:p>
        </w:tc>
      </w:tr>
      <w:tr w:rsidR="002E685D" w:rsidRPr="00C65DC0" w:rsidTr="00C65DC0">
        <w:tc>
          <w:tcPr>
            <w:tcW w:w="70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зв’язок</w:t>
            </w:r>
          </w:p>
        </w:tc>
        <w:tc>
          <w:tcPr>
            <w:tcW w:w="1559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175,0</w:t>
            </w:r>
          </w:p>
        </w:tc>
      </w:tr>
      <w:tr w:rsidR="002E685D" w:rsidRPr="00C65DC0" w:rsidTr="00C65DC0">
        <w:tc>
          <w:tcPr>
            <w:tcW w:w="70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559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8 850,0</w:t>
            </w:r>
          </w:p>
        </w:tc>
      </w:tr>
      <w:tr w:rsidR="002E685D" w:rsidRPr="00C65DC0" w:rsidTr="00C65DC0">
        <w:tc>
          <w:tcPr>
            <w:tcW w:w="70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559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1 906,0</w:t>
            </w:r>
          </w:p>
        </w:tc>
      </w:tr>
      <w:tr w:rsidR="002E685D" w:rsidRPr="00C65DC0" w:rsidTr="00C65DC0">
        <w:tc>
          <w:tcPr>
            <w:tcW w:w="70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  <w:r w:rsidRPr="00C65DC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C65DC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загальногосподарського призначення</w:t>
            </w:r>
          </w:p>
        </w:tc>
        <w:tc>
          <w:tcPr>
            <w:tcW w:w="1559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100,0</w:t>
            </w:r>
          </w:p>
        </w:tc>
      </w:tr>
      <w:tr w:rsidR="002E685D" w:rsidRPr="00C65DC0" w:rsidTr="00C65DC0">
        <w:tc>
          <w:tcPr>
            <w:tcW w:w="70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юридичні послуги</w:t>
            </w:r>
          </w:p>
        </w:tc>
        <w:tc>
          <w:tcPr>
            <w:tcW w:w="1559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16,0</w:t>
            </w:r>
          </w:p>
        </w:tc>
      </w:tr>
      <w:tr w:rsidR="002E685D" w:rsidRPr="00C65DC0" w:rsidTr="00C65DC0">
        <w:tc>
          <w:tcPr>
            <w:tcW w:w="70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13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(крім комунальних), а саме: послуги з охорони, видавничі, банківські, поштові послуги, ремонт комп'ютерної техніки (у т. ч. заправка картриджів), довідки, витяги та інші послуги</w:t>
            </w:r>
          </w:p>
        </w:tc>
        <w:tc>
          <w:tcPr>
            <w:tcW w:w="1559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200,0</w:t>
            </w:r>
          </w:p>
        </w:tc>
      </w:tr>
      <w:tr w:rsidR="002E685D" w:rsidRPr="00C65DC0" w:rsidTr="00C65DC0">
        <w:tc>
          <w:tcPr>
            <w:tcW w:w="70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13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сплата земельного податку</w:t>
            </w:r>
          </w:p>
        </w:tc>
        <w:tc>
          <w:tcPr>
            <w:tcW w:w="1559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78,0</w:t>
            </w:r>
          </w:p>
        </w:tc>
      </w:tr>
      <w:tr w:rsidR="002E685D" w:rsidRPr="00C65DC0" w:rsidTr="00C65DC0">
        <w:tc>
          <w:tcPr>
            <w:tcW w:w="709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предметів та матеріалів (канцелярські товари, бланкова продукція, реєстраційні журнали, передплата періодичних видань, мийні засоби,</w:t>
            </w:r>
            <w:r w:rsidRPr="00C65DC0">
              <w:rPr>
                <w:lang w:val="uk-UA"/>
              </w:rPr>
              <w:t xml:space="preserve"> </w:t>
            </w: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пов'язані з утриманням приміщень та інше) </w:t>
            </w:r>
          </w:p>
        </w:tc>
        <w:tc>
          <w:tcPr>
            <w:tcW w:w="1559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400,0</w:t>
            </w:r>
          </w:p>
        </w:tc>
      </w:tr>
      <w:tr w:rsidR="002E685D" w:rsidRPr="00C65DC0" w:rsidTr="00C65DC0">
        <w:tc>
          <w:tcPr>
            <w:tcW w:w="709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65DC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  адміністративних витрат</w:t>
            </w:r>
          </w:p>
        </w:tc>
        <w:tc>
          <w:tcPr>
            <w:tcW w:w="1559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11 869,7</w:t>
            </w:r>
          </w:p>
        </w:tc>
      </w:tr>
    </w:tbl>
    <w:p w:rsidR="002E685D" w:rsidRDefault="002E685D" w:rsidP="001C0D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2E685D" w:rsidRPr="00B15EC5" w:rsidRDefault="002E685D" w:rsidP="001C0D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- інші операційні витрати «Централізоване постачання</w:t>
      </w:r>
      <w:r>
        <w:rPr>
          <w:rFonts w:ascii="Times New Roman" w:hAnsi="Times New Roman"/>
          <w:sz w:val="24"/>
          <w:szCs w:val="24"/>
          <w:lang w:val="uk-UA"/>
        </w:rPr>
        <w:t xml:space="preserve"> (медикаменти та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інші</w:t>
      </w:r>
      <w:r>
        <w:rPr>
          <w:rFonts w:ascii="Times New Roman" w:hAnsi="Times New Roman"/>
          <w:sz w:val="24"/>
          <w:szCs w:val="24"/>
          <w:lang w:val="uk-UA"/>
        </w:rPr>
        <w:t xml:space="preserve"> медичні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матеріали)», рядок 1080/1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( основної таблиці) </w:t>
      </w:r>
      <w:r>
        <w:rPr>
          <w:rFonts w:ascii="Times New Roman" w:hAnsi="Times New Roman"/>
          <w:sz w:val="24"/>
          <w:szCs w:val="24"/>
          <w:lang w:val="uk-UA"/>
        </w:rPr>
        <w:t xml:space="preserve"> на суму 6 000,0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тис. грн;</w:t>
      </w:r>
    </w:p>
    <w:p w:rsidR="002E685D" w:rsidRPr="00B15EC5" w:rsidRDefault="002E685D" w:rsidP="001C0D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             -капітальні видатки від суми доходу </w:t>
      </w:r>
      <w:r>
        <w:rPr>
          <w:rFonts w:ascii="Times New Roman" w:hAnsi="Times New Roman"/>
          <w:sz w:val="24"/>
          <w:szCs w:val="24"/>
          <w:lang w:val="uk-UA"/>
        </w:rPr>
        <w:t>власних надходжень, рядок 1080/13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( о</w:t>
      </w:r>
      <w:r>
        <w:rPr>
          <w:rFonts w:ascii="Times New Roman" w:hAnsi="Times New Roman"/>
          <w:sz w:val="24"/>
          <w:szCs w:val="24"/>
          <w:lang w:val="uk-UA"/>
        </w:rPr>
        <w:t>сновної таблиці)  на суму 2 850,0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тис. грн;</w:t>
      </w:r>
    </w:p>
    <w:p w:rsidR="002E685D" w:rsidRPr="00B15EC5" w:rsidRDefault="002E685D" w:rsidP="001C0D25">
      <w:pPr>
        <w:tabs>
          <w:tab w:val="left" w:pos="825"/>
        </w:tabs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             -інші </w:t>
      </w:r>
      <w:r w:rsidRPr="00482184">
        <w:rPr>
          <w:rFonts w:ascii="Times New Roman" w:hAnsi="Times New Roman"/>
          <w:sz w:val="24"/>
          <w:szCs w:val="24"/>
          <w:lang w:val="uk-UA"/>
        </w:rPr>
        <w:t>витрати – 4</w:t>
      </w:r>
      <w:r>
        <w:rPr>
          <w:rFonts w:ascii="Times New Roman" w:hAnsi="Times New Roman"/>
          <w:sz w:val="24"/>
          <w:szCs w:val="24"/>
          <w:lang w:val="uk-UA"/>
        </w:rPr>
        <w:t>2 596,5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тис. грн, в </w:t>
      </w:r>
      <w:r w:rsidRPr="00B15EC5">
        <w:rPr>
          <w:rFonts w:ascii="Times New Roman" w:hAnsi="Times New Roman"/>
          <w:sz w:val="24"/>
          <w:szCs w:val="24"/>
          <w:lang w:val="uk-UA"/>
        </w:rPr>
        <w:t>тому числі: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842"/>
      </w:tblGrid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1842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тис. грн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5 460,0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1 174,0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медикаменти та перев'язувальні матеріали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3 500,0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2 965,1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10 104,4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соціальне забезпечення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743,0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450,0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250,0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4 950,0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10</w:t>
            </w:r>
          </w:p>
        </w:tc>
        <w:tc>
          <w:tcPr>
            <w:tcW w:w="6804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придбання обладнання довгострокового використання; капітальний ремонт приміщення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13 000,0</w:t>
            </w:r>
          </w:p>
        </w:tc>
      </w:tr>
    </w:tbl>
    <w:p w:rsidR="002E685D" w:rsidRPr="00B15EC5" w:rsidRDefault="002E685D" w:rsidP="001C0D2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15EC5">
        <w:rPr>
          <w:rFonts w:ascii="Times New Roman" w:hAnsi="Times New Roman"/>
          <w:b/>
          <w:sz w:val="26"/>
          <w:szCs w:val="26"/>
          <w:lang w:val="uk-UA"/>
        </w:rPr>
        <w:t>Обов’язкові платежі підприємства до державного та місцевого бюджетів</w:t>
      </w:r>
    </w:p>
    <w:p w:rsidR="002E685D" w:rsidRPr="00B15EC5" w:rsidRDefault="002E685D" w:rsidP="00692E0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>(Таб</w:t>
      </w:r>
      <w:r>
        <w:rPr>
          <w:rFonts w:ascii="Times New Roman" w:hAnsi="Times New Roman"/>
          <w:sz w:val="24"/>
          <w:szCs w:val="24"/>
          <w:lang w:val="uk-UA"/>
        </w:rPr>
        <w:t>лиця 2 «Розрахунки з бюджетом»)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842"/>
      </w:tblGrid>
      <w:tr w:rsidR="002E685D" w:rsidRPr="00C65DC0" w:rsidTr="00C65DC0">
        <w:tc>
          <w:tcPr>
            <w:tcW w:w="988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Вид платежів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тис. грн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975,6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єдиний внесок на загальнообов'язкове державне соціальне страхування                      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16 216,2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збір 1,5%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1 135,8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податок на доходи фізичних осіб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13 630,1</w:t>
            </w:r>
          </w:p>
        </w:tc>
      </w:tr>
      <w:tr w:rsidR="002E685D" w:rsidRPr="00C65DC0" w:rsidTr="00C65DC0">
        <w:tc>
          <w:tcPr>
            <w:tcW w:w="988" w:type="dxa"/>
            <w:vAlign w:val="center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>земельний податок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78,0</w:t>
            </w:r>
          </w:p>
        </w:tc>
      </w:tr>
      <w:tr w:rsidR="002E685D" w:rsidRPr="00C65DC0" w:rsidTr="00C65DC0">
        <w:tc>
          <w:tcPr>
            <w:tcW w:w="988" w:type="dxa"/>
          </w:tcPr>
          <w:p w:rsidR="002E685D" w:rsidRPr="00C65DC0" w:rsidRDefault="002E685D" w:rsidP="00C6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 </w:t>
            </w:r>
          </w:p>
        </w:tc>
        <w:tc>
          <w:tcPr>
            <w:tcW w:w="1842" w:type="dxa"/>
          </w:tcPr>
          <w:p w:rsidR="002E685D" w:rsidRPr="00C65DC0" w:rsidRDefault="002E685D" w:rsidP="00C65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32 035,7</w:t>
            </w:r>
          </w:p>
        </w:tc>
      </w:tr>
    </w:tbl>
    <w:p w:rsidR="002E685D" w:rsidRPr="00B15EC5" w:rsidRDefault="002E685D" w:rsidP="00EC38B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В таблиці 3 «Рух грошових коштів» внесені наступні зміни:</w:t>
      </w:r>
    </w:p>
    <w:p w:rsidR="002E685D" w:rsidRDefault="002E685D" w:rsidP="001C0D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         - збільшені суми в частині «Надходження грошових коштів від операційної діяльності» «Інші надходження» та в частині «Видатки грошових коштів від операційної діяльності» у відповідності до внесених змін основної таблиці.</w:t>
      </w:r>
    </w:p>
    <w:p w:rsidR="002E685D" w:rsidRPr="00482184" w:rsidRDefault="002E685D" w:rsidP="009B692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В таблиці 4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482184">
        <w:rPr>
          <w:rFonts w:ascii="Times New Roman" w:hAnsi="Times New Roman"/>
          <w:sz w:val="24"/>
          <w:szCs w:val="24"/>
          <w:lang w:val="uk-UA"/>
        </w:rPr>
        <w:t>Капітальні інвестиції» внесені наступні зміни:</w:t>
      </w:r>
    </w:p>
    <w:p w:rsidR="002E685D" w:rsidRPr="00482184" w:rsidRDefault="002E685D" w:rsidP="001C0D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         - «Придбання</w:t>
      </w:r>
      <w:r w:rsidRPr="003C30E1">
        <w:rPr>
          <w:rFonts w:ascii="Times New Roman" w:hAnsi="Times New Roman"/>
          <w:sz w:val="24"/>
          <w:szCs w:val="24"/>
          <w:lang w:val="uk-UA"/>
        </w:rPr>
        <w:t xml:space="preserve"> (виготовлення) основних засобів, капітальний ремонт приміщень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» рядок 4020 таблиці   </w:t>
      </w:r>
      <w:r>
        <w:rPr>
          <w:rFonts w:ascii="Times New Roman" w:hAnsi="Times New Roman"/>
          <w:sz w:val="24"/>
          <w:szCs w:val="24"/>
          <w:lang w:val="uk-UA"/>
        </w:rPr>
        <w:t>збільшено на суму 6 600,0 тис.грн.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685D" w:rsidRPr="00482184" w:rsidRDefault="002E685D" w:rsidP="001C0D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                 Загальна сума коштів на придбання основних засобів</w:t>
      </w:r>
      <w:r>
        <w:rPr>
          <w:rFonts w:ascii="Times New Roman" w:hAnsi="Times New Roman"/>
          <w:sz w:val="24"/>
          <w:szCs w:val="24"/>
          <w:lang w:val="uk-UA"/>
        </w:rPr>
        <w:t xml:space="preserve"> і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капітальний ремонт </w:t>
      </w:r>
      <w:r>
        <w:rPr>
          <w:rFonts w:ascii="Times New Roman" w:hAnsi="Times New Roman"/>
          <w:sz w:val="24"/>
          <w:szCs w:val="24"/>
          <w:lang w:val="uk-UA"/>
        </w:rPr>
        <w:t xml:space="preserve"> становить 15 850,00 тис.грн;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на придбання  інших необоротних матеріальних активів</w:t>
      </w:r>
      <w:r>
        <w:rPr>
          <w:rFonts w:ascii="Times New Roman" w:hAnsi="Times New Roman"/>
          <w:sz w:val="24"/>
          <w:szCs w:val="24"/>
          <w:lang w:val="uk-UA"/>
        </w:rPr>
        <w:t xml:space="preserve"> сума становить 550</w:t>
      </w:r>
      <w:r w:rsidRPr="00482184">
        <w:rPr>
          <w:rFonts w:ascii="Times New Roman" w:hAnsi="Times New Roman"/>
          <w:sz w:val="24"/>
          <w:szCs w:val="24"/>
          <w:lang w:val="uk-UA"/>
        </w:rPr>
        <w:t>,0 тис.грн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E685D" w:rsidRPr="00B15EC5" w:rsidRDefault="002E685D" w:rsidP="001C0D25">
      <w:pPr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        В таблицю 5 «Дані про персонал та витрати на оплату праці» </w:t>
      </w:r>
      <w:r w:rsidRPr="00B15EC5">
        <w:rPr>
          <w:rFonts w:ascii="Times New Roman" w:hAnsi="Times New Roman"/>
          <w:sz w:val="24"/>
          <w:szCs w:val="24"/>
          <w:lang w:val="uk-UA"/>
        </w:rPr>
        <w:t>внесені наступні зміни:</w:t>
      </w:r>
    </w:p>
    <w:p w:rsidR="002E685D" w:rsidRDefault="002E685D" w:rsidP="001C0D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        -середня кількість працівників (штатних працівників, зовнішніх</w:t>
      </w:r>
      <w:r>
        <w:rPr>
          <w:rFonts w:ascii="Times New Roman" w:hAnsi="Times New Roman"/>
          <w:sz w:val="24"/>
          <w:szCs w:val="24"/>
          <w:lang w:val="uk-UA"/>
        </w:rPr>
        <w:t xml:space="preserve"> та внутрішніх</w:t>
      </w:r>
      <w:r w:rsidRPr="00B15EC5">
        <w:rPr>
          <w:rFonts w:ascii="Times New Roman" w:hAnsi="Times New Roman"/>
          <w:sz w:val="24"/>
          <w:szCs w:val="24"/>
          <w:lang w:val="uk-UA"/>
        </w:rPr>
        <w:t xml:space="preserve"> сумісни</w:t>
      </w:r>
      <w:r>
        <w:rPr>
          <w:rFonts w:ascii="Times New Roman" w:hAnsi="Times New Roman"/>
          <w:sz w:val="24"/>
          <w:szCs w:val="24"/>
          <w:lang w:val="uk-UA"/>
        </w:rPr>
        <w:t>ків, працівників по договору</w:t>
      </w:r>
      <w:r w:rsidRPr="00B15EC5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збільшилась  на 15,5 штатні одиниці за рахунок медичного персоналу (лікарів, медичних сестер), медичного персоналу по договору </w:t>
      </w:r>
      <w:r w:rsidRPr="00A97057">
        <w:rPr>
          <w:rFonts w:ascii="Times New Roman" w:hAnsi="Times New Roman"/>
          <w:sz w:val="24"/>
          <w:szCs w:val="24"/>
          <w:lang w:val="uk-UA"/>
        </w:rPr>
        <w:t>про надання медичних послуг медичного кабінету з контролю за проведенням навчально-тренувальної та спортивної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, молодшого медичного персоналу та іншого персоналу. Окрім того, збільшився фонд оплати праці на 2 715,0 тис.грн. </w:t>
      </w:r>
      <w:r w:rsidRPr="0055189D">
        <w:rPr>
          <w:rFonts w:ascii="Times New Roman" w:hAnsi="Times New Roman"/>
          <w:sz w:val="24"/>
          <w:szCs w:val="24"/>
          <w:lang w:val="uk-UA"/>
        </w:rPr>
        <w:t>Витрати на оплату прац</w:t>
      </w:r>
      <w:r>
        <w:rPr>
          <w:rFonts w:ascii="Times New Roman" w:hAnsi="Times New Roman"/>
          <w:sz w:val="24"/>
          <w:szCs w:val="24"/>
          <w:lang w:val="uk-UA"/>
        </w:rPr>
        <w:t>і з нарахуваннями становлять 91 939,2 тис.грн.</w:t>
      </w:r>
    </w:p>
    <w:p w:rsidR="002E685D" w:rsidRPr="00B15EC5" w:rsidRDefault="002E685D" w:rsidP="001C0D2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5EC5">
        <w:rPr>
          <w:rFonts w:ascii="Arial" w:hAnsi="Arial" w:cs="Arial"/>
          <w:sz w:val="24"/>
          <w:szCs w:val="24"/>
          <w:lang w:eastAsia="ru-RU"/>
        </w:rPr>
        <w:t>        </w:t>
      </w:r>
      <w:r w:rsidRPr="00B15EC5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B15EC5">
        <w:rPr>
          <w:rFonts w:ascii="Times New Roman" w:hAnsi="Times New Roman"/>
          <w:sz w:val="24"/>
          <w:szCs w:val="24"/>
          <w:lang w:val="uk-UA" w:eastAsia="ru-RU"/>
        </w:rPr>
        <w:t>Загальна чисельність працівник</w:t>
      </w:r>
      <w:r>
        <w:rPr>
          <w:rFonts w:ascii="Times New Roman" w:hAnsi="Times New Roman"/>
          <w:sz w:val="24"/>
          <w:szCs w:val="24"/>
          <w:lang w:val="uk-UA" w:eastAsia="ru-RU"/>
        </w:rPr>
        <w:t>ів підприємства на плановий 2024</w:t>
      </w:r>
      <w:r w:rsidRPr="00B15EC5">
        <w:rPr>
          <w:rFonts w:ascii="Times New Roman" w:hAnsi="Times New Roman"/>
          <w:sz w:val="24"/>
          <w:szCs w:val="24"/>
          <w:lang w:val="uk-UA" w:eastAsia="ru-RU"/>
        </w:rPr>
        <w:t xml:space="preserve"> рік (зі змін</w:t>
      </w:r>
      <w:r>
        <w:rPr>
          <w:rFonts w:ascii="Times New Roman" w:hAnsi="Times New Roman"/>
          <w:sz w:val="24"/>
          <w:szCs w:val="24"/>
          <w:lang w:val="uk-UA" w:eastAsia="ru-RU"/>
        </w:rPr>
        <w:t>ами) відповідно до штатних розписів становить 401,25 штатні одиниці</w:t>
      </w:r>
      <w:r w:rsidRPr="00B15EC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2E685D" w:rsidRPr="00482184" w:rsidRDefault="002E685D" w:rsidP="001C0D2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В результаті діяльності КНП НМР «СМСЧ </w:t>
      </w:r>
      <w:r>
        <w:rPr>
          <w:rFonts w:ascii="Times New Roman" w:hAnsi="Times New Roman"/>
          <w:sz w:val="24"/>
          <w:szCs w:val="24"/>
          <w:lang w:val="uk-UA"/>
        </w:rPr>
        <w:t>м.Нетішин» впродовж 2024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року заплановано, що видатки відповідатимуть доходам, оскільки підприємство фінансується з державного бюджету та з бюджету</w:t>
      </w:r>
      <w:r w:rsidRPr="0055189D">
        <w:rPr>
          <w:rFonts w:ascii="Times New Roman" w:hAnsi="Times New Roman"/>
          <w:sz w:val="24"/>
          <w:szCs w:val="24"/>
          <w:lang w:val="uk-UA"/>
        </w:rPr>
        <w:t xml:space="preserve"> Нетішинської міської ТГ</w:t>
      </w:r>
      <w:r w:rsidRPr="00482184">
        <w:rPr>
          <w:rFonts w:ascii="Times New Roman" w:hAnsi="Times New Roman"/>
          <w:sz w:val="24"/>
          <w:szCs w:val="24"/>
          <w:lang w:val="uk-UA"/>
        </w:rPr>
        <w:t xml:space="preserve">  за «Комплексною  Програмою розвитку та підтримки комунальних підприємств охорони здоров’я Нетішинської міської територіальної громади і надання медичних послуг  на 2021-2024 роки».</w:t>
      </w:r>
    </w:p>
    <w:p w:rsidR="002E685D" w:rsidRPr="00EC38B2" w:rsidRDefault="002E685D" w:rsidP="00EC38B2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82184">
        <w:rPr>
          <w:rFonts w:ascii="Times New Roman" w:hAnsi="Times New Roman"/>
          <w:sz w:val="24"/>
          <w:szCs w:val="24"/>
          <w:lang w:val="uk-UA"/>
        </w:rPr>
        <w:t xml:space="preserve">         Комунальне некомерційне підприємство здійснює господарську некомерційну </w:t>
      </w:r>
      <w:r w:rsidRPr="00B15EC5">
        <w:rPr>
          <w:rFonts w:ascii="Times New Roman" w:hAnsi="Times New Roman"/>
          <w:sz w:val="24"/>
          <w:szCs w:val="24"/>
          <w:lang w:val="uk-UA"/>
        </w:rPr>
        <w:t>діяльність, спрямовану на досягнення соціальних та інших результатів без мети одержання прибутку, є неприбутковою організацією.</w:t>
      </w:r>
    </w:p>
    <w:p w:rsidR="002E685D" w:rsidRPr="00B15EC5" w:rsidRDefault="002E685D" w:rsidP="001C0D25">
      <w:pPr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>Дир</w:t>
      </w:r>
      <w:r>
        <w:rPr>
          <w:rFonts w:ascii="Times New Roman" w:hAnsi="Times New Roman"/>
          <w:sz w:val="24"/>
          <w:szCs w:val="24"/>
          <w:lang w:val="uk-UA"/>
        </w:rPr>
        <w:t xml:space="preserve">ектор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Тетяна ДІДИЧ</w:t>
      </w:r>
    </w:p>
    <w:p w:rsidR="002E685D" w:rsidRPr="00B15EC5" w:rsidRDefault="002E685D" w:rsidP="001C0D25">
      <w:pPr>
        <w:tabs>
          <w:tab w:val="left" w:pos="708"/>
          <w:tab w:val="left" w:pos="1416"/>
          <w:tab w:val="left" w:pos="2124"/>
        </w:tabs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Заступник директора з економічних питань                       </w:t>
      </w:r>
      <w:r w:rsidRPr="00B15EC5">
        <w:rPr>
          <w:rFonts w:ascii="Times New Roman" w:hAnsi="Times New Roman"/>
          <w:sz w:val="24"/>
          <w:szCs w:val="24"/>
          <w:lang w:val="uk-UA"/>
        </w:rPr>
        <w:tab/>
        <w:t>Валентина ПАРАХІНА</w:t>
      </w:r>
    </w:p>
    <w:p w:rsidR="002E685D" w:rsidRDefault="002E685D" w:rsidP="001C0D25">
      <w:pPr>
        <w:rPr>
          <w:rFonts w:ascii="Times New Roman" w:hAnsi="Times New Roman"/>
          <w:sz w:val="24"/>
          <w:szCs w:val="24"/>
          <w:lang w:val="uk-UA"/>
        </w:rPr>
      </w:pPr>
      <w:r w:rsidRPr="00B15EC5">
        <w:rPr>
          <w:rFonts w:ascii="Times New Roman" w:hAnsi="Times New Roman"/>
          <w:sz w:val="24"/>
          <w:szCs w:val="24"/>
          <w:lang w:val="uk-UA"/>
        </w:rPr>
        <w:t xml:space="preserve">Головний бухгалтер </w:t>
      </w:r>
      <w:r w:rsidRPr="00B15EC5">
        <w:rPr>
          <w:rFonts w:ascii="Times New Roman" w:hAnsi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/>
          <w:sz w:val="24"/>
          <w:szCs w:val="24"/>
          <w:lang w:val="uk-UA"/>
        </w:rPr>
        <w:tab/>
        <w:t>Ніна ЗІНЧУК</w:t>
      </w:r>
      <w:r w:rsidRPr="00B15EC5">
        <w:rPr>
          <w:rFonts w:ascii="Times New Roman" w:hAnsi="Times New Roman"/>
          <w:sz w:val="24"/>
          <w:szCs w:val="24"/>
          <w:lang w:val="uk-UA"/>
        </w:rPr>
        <w:tab/>
      </w:r>
      <w:bookmarkStart w:id="0" w:name="_GoBack"/>
      <w:bookmarkEnd w:id="0"/>
    </w:p>
    <w:sectPr w:rsidR="002E685D" w:rsidSect="003723FD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5D" w:rsidRDefault="002E685D" w:rsidP="00655BAE">
      <w:pPr>
        <w:spacing w:after="0" w:line="240" w:lineRule="auto"/>
      </w:pPr>
      <w:r>
        <w:separator/>
      </w:r>
    </w:p>
  </w:endnote>
  <w:endnote w:type="continuationSeparator" w:id="0">
    <w:p w:rsidR="002E685D" w:rsidRDefault="002E685D" w:rsidP="006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5D" w:rsidRDefault="002E685D" w:rsidP="00655BAE">
      <w:pPr>
        <w:spacing w:after="0" w:line="240" w:lineRule="auto"/>
      </w:pPr>
      <w:r>
        <w:separator/>
      </w:r>
    </w:p>
  </w:footnote>
  <w:footnote w:type="continuationSeparator" w:id="0">
    <w:p w:rsidR="002E685D" w:rsidRDefault="002E685D" w:rsidP="0065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376"/>
    <w:multiLevelType w:val="hybridMultilevel"/>
    <w:tmpl w:val="220A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4C57"/>
    <w:multiLevelType w:val="multilevel"/>
    <w:tmpl w:val="C03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10E0A"/>
    <w:multiLevelType w:val="multilevel"/>
    <w:tmpl w:val="83C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33"/>
    <w:rsid w:val="00033128"/>
    <w:rsid w:val="0003641D"/>
    <w:rsid w:val="00065DEB"/>
    <w:rsid w:val="0008197F"/>
    <w:rsid w:val="00090D67"/>
    <w:rsid w:val="00090F2B"/>
    <w:rsid w:val="0009748C"/>
    <w:rsid w:val="000B745A"/>
    <w:rsid w:val="000B7AE9"/>
    <w:rsid w:val="000C3533"/>
    <w:rsid w:val="000C4CB8"/>
    <w:rsid w:val="000C790E"/>
    <w:rsid w:val="000F352C"/>
    <w:rsid w:val="00104CC5"/>
    <w:rsid w:val="001067C2"/>
    <w:rsid w:val="0012041C"/>
    <w:rsid w:val="00137671"/>
    <w:rsid w:val="00143A29"/>
    <w:rsid w:val="001621C3"/>
    <w:rsid w:val="0017276B"/>
    <w:rsid w:val="001816C2"/>
    <w:rsid w:val="00182604"/>
    <w:rsid w:val="00184085"/>
    <w:rsid w:val="001B295E"/>
    <w:rsid w:val="001C0D25"/>
    <w:rsid w:val="001D19D3"/>
    <w:rsid w:val="001E1247"/>
    <w:rsid w:val="001F4038"/>
    <w:rsid w:val="00217D13"/>
    <w:rsid w:val="0022087D"/>
    <w:rsid w:val="00233F80"/>
    <w:rsid w:val="0025325D"/>
    <w:rsid w:val="00256A3F"/>
    <w:rsid w:val="00273C81"/>
    <w:rsid w:val="0027510D"/>
    <w:rsid w:val="00275475"/>
    <w:rsid w:val="00293ED2"/>
    <w:rsid w:val="00295803"/>
    <w:rsid w:val="002A2C33"/>
    <w:rsid w:val="002B07A8"/>
    <w:rsid w:val="002B5F55"/>
    <w:rsid w:val="002B7E9D"/>
    <w:rsid w:val="002C380E"/>
    <w:rsid w:val="002C5A31"/>
    <w:rsid w:val="002C73A8"/>
    <w:rsid w:val="002D007F"/>
    <w:rsid w:val="002E685D"/>
    <w:rsid w:val="002F7F09"/>
    <w:rsid w:val="00303179"/>
    <w:rsid w:val="0030794D"/>
    <w:rsid w:val="00322A41"/>
    <w:rsid w:val="00325D0E"/>
    <w:rsid w:val="00333E09"/>
    <w:rsid w:val="00335E22"/>
    <w:rsid w:val="003500E1"/>
    <w:rsid w:val="0035171C"/>
    <w:rsid w:val="00360275"/>
    <w:rsid w:val="00363B3F"/>
    <w:rsid w:val="003723FD"/>
    <w:rsid w:val="00383171"/>
    <w:rsid w:val="003926B2"/>
    <w:rsid w:val="00392FED"/>
    <w:rsid w:val="003A1E09"/>
    <w:rsid w:val="003A4450"/>
    <w:rsid w:val="003A7D9F"/>
    <w:rsid w:val="003C167A"/>
    <w:rsid w:val="003C20A4"/>
    <w:rsid w:val="003C30E1"/>
    <w:rsid w:val="003C37D8"/>
    <w:rsid w:val="003C4BCB"/>
    <w:rsid w:val="003E02B0"/>
    <w:rsid w:val="003E0CDC"/>
    <w:rsid w:val="003E6353"/>
    <w:rsid w:val="003E6B0D"/>
    <w:rsid w:val="003F0339"/>
    <w:rsid w:val="004030AD"/>
    <w:rsid w:val="004101A3"/>
    <w:rsid w:val="004141E4"/>
    <w:rsid w:val="00423277"/>
    <w:rsid w:val="004242B5"/>
    <w:rsid w:val="00426D42"/>
    <w:rsid w:val="00431DD2"/>
    <w:rsid w:val="00440072"/>
    <w:rsid w:val="00440F19"/>
    <w:rsid w:val="00442F92"/>
    <w:rsid w:val="004458D9"/>
    <w:rsid w:val="00464D0E"/>
    <w:rsid w:val="00465D7B"/>
    <w:rsid w:val="00476140"/>
    <w:rsid w:val="00482184"/>
    <w:rsid w:val="004959EA"/>
    <w:rsid w:val="00497AFF"/>
    <w:rsid w:val="004C12EA"/>
    <w:rsid w:val="004C65CC"/>
    <w:rsid w:val="004D0088"/>
    <w:rsid w:val="004D3EC9"/>
    <w:rsid w:val="004E48E4"/>
    <w:rsid w:val="004E7B8D"/>
    <w:rsid w:val="0050492C"/>
    <w:rsid w:val="005157E8"/>
    <w:rsid w:val="00523D85"/>
    <w:rsid w:val="00526E3D"/>
    <w:rsid w:val="00531E36"/>
    <w:rsid w:val="005368EB"/>
    <w:rsid w:val="0055189D"/>
    <w:rsid w:val="00560B02"/>
    <w:rsid w:val="00560C70"/>
    <w:rsid w:val="005623B0"/>
    <w:rsid w:val="00573841"/>
    <w:rsid w:val="0057520D"/>
    <w:rsid w:val="0058066D"/>
    <w:rsid w:val="0058230F"/>
    <w:rsid w:val="00596BAB"/>
    <w:rsid w:val="0059737C"/>
    <w:rsid w:val="005C0261"/>
    <w:rsid w:val="005E19E7"/>
    <w:rsid w:val="005E7C98"/>
    <w:rsid w:val="00600849"/>
    <w:rsid w:val="006120F5"/>
    <w:rsid w:val="006173B0"/>
    <w:rsid w:val="00637ACD"/>
    <w:rsid w:val="00637D4C"/>
    <w:rsid w:val="00644678"/>
    <w:rsid w:val="006529BF"/>
    <w:rsid w:val="00655BAE"/>
    <w:rsid w:val="00671AA0"/>
    <w:rsid w:val="00680951"/>
    <w:rsid w:val="006819D2"/>
    <w:rsid w:val="00692E0A"/>
    <w:rsid w:val="006B2710"/>
    <w:rsid w:val="006B6801"/>
    <w:rsid w:val="006C2656"/>
    <w:rsid w:val="006C5FF2"/>
    <w:rsid w:val="006D3A03"/>
    <w:rsid w:val="006D582F"/>
    <w:rsid w:val="006E5DAF"/>
    <w:rsid w:val="00710BCC"/>
    <w:rsid w:val="00727FFD"/>
    <w:rsid w:val="0073291C"/>
    <w:rsid w:val="00762544"/>
    <w:rsid w:val="00771017"/>
    <w:rsid w:val="00784EFD"/>
    <w:rsid w:val="007864B0"/>
    <w:rsid w:val="00790006"/>
    <w:rsid w:val="00793A61"/>
    <w:rsid w:val="007B3C68"/>
    <w:rsid w:val="007C3D80"/>
    <w:rsid w:val="007D4376"/>
    <w:rsid w:val="007E7C0C"/>
    <w:rsid w:val="007F3362"/>
    <w:rsid w:val="00801074"/>
    <w:rsid w:val="0080584F"/>
    <w:rsid w:val="00814CAE"/>
    <w:rsid w:val="00816694"/>
    <w:rsid w:val="00831532"/>
    <w:rsid w:val="0083515E"/>
    <w:rsid w:val="00862366"/>
    <w:rsid w:val="008653D7"/>
    <w:rsid w:val="00873F3A"/>
    <w:rsid w:val="00875D53"/>
    <w:rsid w:val="00892C1C"/>
    <w:rsid w:val="00897B18"/>
    <w:rsid w:val="008B0514"/>
    <w:rsid w:val="008B28FD"/>
    <w:rsid w:val="008B4C61"/>
    <w:rsid w:val="008C59E4"/>
    <w:rsid w:val="008D5477"/>
    <w:rsid w:val="0090532C"/>
    <w:rsid w:val="009055DF"/>
    <w:rsid w:val="00913344"/>
    <w:rsid w:val="00914101"/>
    <w:rsid w:val="00920A5E"/>
    <w:rsid w:val="00924E37"/>
    <w:rsid w:val="00932348"/>
    <w:rsid w:val="0094356B"/>
    <w:rsid w:val="009531EF"/>
    <w:rsid w:val="00955053"/>
    <w:rsid w:val="009905BD"/>
    <w:rsid w:val="009910C4"/>
    <w:rsid w:val="00992D82"/>
    <w:rsid w:val="009A403B"/>
    <w:rsid w:val="009A7B05"/>
    <w:rsid w:val="009B692A"/>
    <w:rsid w:val="009C37E5"/>
    <w:rsid w:val="009C68E8"/>
    <w:rsid w:val="009D3B52"/>
    <w:rsid w:val="009D5454"/>
    <w:rsid w:val="009F3EC7"/>
    <w:rsid w:val="00A079E3"/>
    <w:rsid w:val="00A15BF3"/>
    <w:rsid w:val="00A33904"/>
    <w:rsid w:val="00A4535B"/>
    <w:rsid w:val="00A5010A"/>
    <w:rsid w:val="00A5411C"/>
    <w:rsid w:val="00A5685E"/>
    <w:rsid w:val="00A7796D"/>
    <w:rsid w:val="00A83FDC"/>
    <w:rsid w:val="00A948DC"/>
    <w:rsid w:val="00A97057"/>
    <w:rsid w:val="00AC0DAA"/>
    <w:rsid w:val="00AC3E66"/>
    <w:rsid w:val="00AC51B7"/>
    <w:rsid w:val="00AC6260"/>
    <w:rsid w:val="00AF18F4"/>
    <w:rsid w:val="00B05E60"/>
    <w:rsid w:val="00B144B5"/>
    <w:rsid w:val="00B15EC5"/>
    <w:rsid w:val="00B16C6F"/>
    <w:rsid w:val="00B34F42"/>
    <w:rsid w:val="00B52D55"/>
    <w:rsid w:val="00B5535F"/>
    <w:rsid w:val="00BA1B32"/>
    <w:rsid w:val="00BA3F9A"/>
    <w:rsid w:val="00BA608D"/>
    <w:rsid w:val="00BA74F4"/>
    <w:rsid w:val="00BB0A86"/>
    <w:rsid w:val="00BB14A0"/>
    <w:rsid w:val="00BB4800"/>
    <w:rsid w:val="00BC3722"/>
    <w:rsid w:val="00BC6C3F"/>
    <w:rsid w:val="00BD026C"/>
    <w:rsid w:val="00C15031"/>
    <w:rsid w:val="00C15BF4"/>
    <w:rsid w:val="00C41605"/>
    <w:rsid w:val="00C52F6D"/>
    <w:rsid w:val="00C53A3E"/>
    <w:rsid w:val="00C65DC0"/>
    <w:rsid w:val="00C6757B"/>
    <w:rsid w:val="00C73BA1"/>
    <w:rsid w:val="00C77C9D"/>
    <w:rsid w:val="00C82766"/>
    <w:rsid w:val="00C9171E"/>
    <w:rsid w:val="00CB041F"/>
    <w:rsid w:val="00CC2FE0"/>
    <w:rsid w:val="00CC7DFC"/>
    <w:rsid w:val="00CD35E7"/>
    <w:rsid w:val="00CD40A7"/>
    <w:rsid w:val="00CD41E0"/>
    <w:rsid w:val="00CF138E"/>
    <w:rsid w:val="00CF216B"/>
    <w:rsid w:val="00CF75DE"/>
    <w:rsid w:val="00D43F43"/>
    <w:rsid w:val="00D52EBD"/>
    <w:rsid w:val="00D64F31"/>
    <w:rsid w:val="00DA6ED3"/>
    <w:rsid w:val="00DB25A1"/>
    <w:rsid w:val="00DB3C80"/>
    <w:rsid w:val="00DB5A17"/>
    <w:rsid w:val="00DC1C98"/>
    <w:rsid w:val="00DC67BA"/>
    <w:rsid w:val="00DD1FD3"/>
    <w:rsid w:val="00DD464F"/>
    <w:rsid w:val="00DE0FFD"/>
    <w:rsid w:val="00DE14E2"/>
    <w:rsid w:val="00DF459C"/>
    <w:rsid w:val="00E114EF"/>
    <w:rsid w:val="00E1157F"/>
    <w:rsid w:val="00E13DBC"/>
    <w:rsid w:val="00E1529B"/>
    <w:rsid w:val="00E15385"/>
    <w:rsid w:val="00E25530"/>
    <w:rsid w:val="00E32070"/>
    <w:rsid w:val="00E518FB"/>
    <w:rsid w:val="00E74212"/>
    <w:rsid w:val="00E841E2"/>
    <w:rsid w:val="00E9242C"/>
    <w:rsid w:val="00EA77BA"/>
    <w:rsid w:val="00EB0910"/>
    <w:rsid w:val="00EB36AC"/>
    <w:rsid w:val="00EB69C4"/>
    <w:rsid w:val="00EC0FBF"/>
    <w:rsid w:val="00EC3610"/>
    <w:rsid w:val="00EC38B2"/>
    <w:rsid w:val="00ED4991"/>
    <w:rsid w:val="00EF5599"/>
    <w:rsid w:val="00F06BE4"/>
    <w:rsid w:val="00F14DFE"/>
    <w:rsid w:val="00F23EA8"/>
    <w:rsid w:val="00F252E1"/>
    <w:rsid w:val="00F45FE6"/>
    <w:rsid w:val="00F523F2"/>
    <w:rsid w:val="00F54992"/>
    <w:rsid w:val="00F7594E"/>
    <w:rsid w:val="00F929E6"/>
    <w:rsid w:val="00F92E9C"/>
    <w:rsid w:val="00F93C37"/>
    <w:rsid w:val="00FB6678"/>
    <w:rsid w:val="00FC0FE1"/>
    <w:rsid w:val="00FC1C5B"/>
    <w:rsid w:val="00FC5F7B"/>
    <w:rsid w:val="00FD2532"/>
    <w:rsid w:val="00FE2D6A"/>
    <w:rsid w:val="00FE2FD4"/>
    <w:rsid w:val="00FE65BD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819D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C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65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B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1840</Words>
  <Characters>10488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до змін</dc:title>
  <dc:subject/>
  <dc:creator>Пользователь Windows</dc:creator>
  <cp:keywords/>
  <dc:description/>
  <cp:lastModifiedBy>Depviddil</cp:lastModifiedBy>
  <cp:revision>3</cp:revision>
  <cp:lastPrinted>2024-06-06T07:58:00Z</cp:lastPrinted>
  <dcterms:created xsi:type="dcterms:W3CDTF">2024-06-06T07:58:00Z</dcterms:created>
  <dcterms:modified xsi:type="dcterms:W3CDTF">2024-06-06T07:58:00Z</dcterms:modified>
</cp:coreProperties>
</file>